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C4" w:rsidRPr="00622AC4" w:rsidRDefault="00622AC4" w:rsidP="00622AC4">
      <w:pPr>
        <w:jc w:val="center"/>
        <w:rPr>
          <w:rFonts w:eastAsia="Calibri"/>
          <w:b/>
          <w:sz w:val="28"/>
          <w:szCs w:val="22"/>
          <w:lang w:eastAsia="en-US"/>
        </w:rPr>
      </w:pPr>
      <w:r w:rsidRPr="00622AC4">
        <w:rPr>
          <w:rFonts w:eastAsia="Calibri"/>
          <w:b/>
          <w:sz w:val="28"/>
          <w:szCs w:val="22"/>
          <w:lang w:eastAsia="en-US"/>
        </w:rPr>
        <w:t>ПОСЯНИТЕЛЬНАЯ ЗАПИСКА</w:t>
      </w:r>
    </w:p>
    <w:p w:rsidR="00622AC4" w:rsidRPr="00622AC4" w:rsidRDefault="00622AC4" w:rsidP="00622AC4">
      <w:pPr>
        <w:spacing w:after="160"/>
        <w:ind w:firstLine="709"/>
        <w:contextualSpacing/>
        <w:jc w:val="both"/>
        <w:rPr>
          <w:rFonts w:eastAsia="Arial Unicode MS"/>
          <w:color w:val="000000"/>
          <w:sz w:val="28"/>
          <w:szCs w:val="28"/>
          <w:lang w:bidi="ru-RU"/>
        </w:rPr>
      </w:pPr>
      <w:r w:rsidRPr="00622AC4">
        <w:rPr>
          <w:rFonts w:eastAsia="Calibri"/>
          <w:b/>
          <w:sz w:val="28"/>
          <w:szCs w:val="22"/>
          <w:lang w:eastAsia="en-US"/>
        </w:rPr>
        <w:t>к проекту Федерального закона «О внесении изменений в Федеральный закон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к проекту Постановления Правительства Российской Федерации «О внесении изменений в Постановление Правительства РФ от 07.03.1995 N 239 «О мерах по упорядочению государственного регулирования цен (тарифов)»»</w:t>
      </w:r>
    </w:p>
    <w:p w:rsidR="00622AC4" w:rsidRPr="00622AC4" w:rsidRDefault="00622AC4" w:rsidP="00622AC4">
      <w:pPr>
        <w:spacing w:after="160"/>
        <w:ind w:firstLine="709"/>
        <w:contextualSpacing/>
        <w:jc w:val="both"/>
        <w:rPr>
          <w:rFonts w:eastAsia="Arial Unicode MS"/>
          <w:color w:val="000000"/>
          <w:sz w:val="28"/>
          <w:szCs w:val="28"/>
          <w:lang w:bidi="ru-RU"/>
        </w:rPr>
      </w:pPr>
    </w:p>
    <w:p w:rsidR="007F320D" w:rsidRDefault="007F320D" w:rsidP="007F320D">
      <w:pPr>
        <w:spacing w:after="160"/>
        <w:ind w:firstLine="709"/>
        <w:contextualSpacing/>
        <w:jc w:val="both"/>
        <w:rPr>
          <w:rFonts w:eastAsia="Calibri"/>
          <w:sz w:val="28"/>
          <w:szCs w:val="28"/>
          <w:lang w:eastAsia="en-US"/>
        </w:rPr>
      </w:pPr>
      <w:r>
        <w:rPr>
          <w:rFonts w:eastAsia="Arial Unicode MS"/>
          <w:color w:val="000000"/>
          <w:sz w:val="28"/>
          <w:szCs w:val="28"/>
          <w:lang w:bidi="ru-RU"/>
        </w:rPr>
        <w:t xml:space="preserve">Настоящий проект </w:t>
      </w:r>
      <w:r>
        <w:rPr>
          <w:rFonts w:eastAsia="Calibri"/>
          <w:sz w:val="28"/>
          <w:szCs w:val="28"/>
          <w:lang w:eastAsia="en-US"/>
        </w:rPr>
        <w:t>подготовлен в инициативном порядке на основании постановления Правительства Российской Федерации от 7 марта 1995 г. № 239 «О мерах по упорядочению государственного регулирования цен (тарифов)» (далее -Постановление № 239 и в соответствии с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положениями Указа президента Российской Федерации от 28.02.1995 года № 221 «О мерах по упорядочению государственного регулирования цен (тарифов)».</w:t>
      </w:r>
    </w:p>
    <w:p w:rsidR="007F320D" w:rsidRDefault="007F320D" w:rsidP="007F320D">
      <w:pPr>
        <w:spacing w:after="160"/>
        <w:ind w:firstLine="709"/>
        <w:contextualSpacing/>
        <w:jc w:val="both"/>
        <w:rPr>
          <w:rFonts w:eastAsia="Calibri"/>
          <w:sz w:val="28"/>
          <w:szCs w:val="28"/>
          <w:lang w:eastAsia="en-US"/>
        </w:rPr>
      </w:pPr>
      <w:r>
        <w:rPr>
          <w:rFonts w:eastAsia="Calibri"/>
          <w:sz w:val="28"/>
          <w:szCs w:val="28"/>
          <w:lang w:eastAsia="en-US"/>
        </w:rPr>
        <w:t>Согласно п. 55 ч. 2 ст. 26.3 Федерального закона от 6 октября 1999 г. № 184- ФЗ «Об общих принципах организации законодательных (представительных) и исполнительных органов государственной власти субъектов Российской Федерации» к полномочиям органов государственной власти субъекта Российской Федерации по предметам совместного ведения относится решение вопросов установления подлежащих государственному регулированию цен (тарифов) на товары (услуги) в соответствии с законодательством Российской Федерации.</w:t>
      </w:r>
    </w:p>
    <w:p w:rsidR="007F320D" w:rsidRDefault="007F320D" w:rsidP="007F320D">
      <w:pPr>
        <w:spacing w:after="160"/>
        <w:ind w:firstLine="709"/>
        <w:contextualSpacing/>
        <w:jc w:val="both"/>
        <w:rPr>
          <w:rFonts w:eastAsia="Calibri"/>
          <w:sz w:val="28"/>
          <w:szCs w:val="28"/>
          <w:lang w:eastAsia="en-US"/>
        </w:rPr>
      </w:pPr>
      <w:r>
        <w:rPr>
          <w:rFonts w:eastAsia="Calibri"/>
          <w:sz w:val="28"/>
          <w:szCs w:val="28"/>
          <w:lang w:eastAsia="en-US"/>
        </w:rPr>
        <w:t>В соответствии с Постановлением № 239 за органами исполнительной власти субъектов Российской Федерации закреплена обязанность вводить регулирование тарифов на перевозку пассажиров и багажа транспортом по муниципальным маршрутам.</w:t>
      </w:r>
    </w:p>
    <w:p w:rsidR="007F320D" w:rsidRDefault="007F320D" w:rsidP="007F320D">
      <w:pPr>
        <w:ind w:firstLine="709"/>
        <w:jc w:val="both"/>
        <w:rPr>
          <w:rFonts w:eastAsia="Calibri"/>
          <w:sz w:val="28"/>
          <w:szCs w:val="28"/>
          <w:lang w:eastAsia="en-US"/>
        </w:rPr>
      </w:pPr>
      <w:r>
        <w:rPr>
          <w:rFonts w:eastAsia="Calibri"/>
          <w:sz w:val="28"/>
          <w:szCs w:val="28"/>
          <w:lang w:eastAsia="en-US"/>
        </w:rPr>
        <w:t>Полномочия субъектов Российской Федерации,</w:t>
      </w:r>
      <w:r>
        <w:rPr>
          <w:rFonts w:eastAsia="Calibri"/>
          <w:sz w:val="28"/>
          <w:szCs w:val="22"/>
          <w:lang w:eastAsia="en-US"/>
        </w:rPr>
        <w:t xml:space="preserve"> </w:t>
      </w:r>
      <w:r>
        <w:rPr>
          <w:rFonts w:eastAsia="Calibri"/>
          <w:sz w:val="28"/>
          <w:szCs w:val="28"/>
          <w:lang w:eastAsia="en-US"/>
        </w:rPr>
        <w:t>если иное не установлено законом данного субъекта Российской Федерации, по установлению регулируемых тарифов в области регулярных перевозок пассажиров и багажа автомобильным транспортом и городским наземным электрическим транспортом в части тарифов на перевозки по муниципальным маршрутам регулярных перевозок закреплены частью 1 статьей 15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7F320D" w:rsidRDefault="007F320D" w:rsidP="007F320D">
      <w:pPr>
        <w:spacing w:after="160"/>
        <w:ind w:firstLine="709"/>
        <w:contextualSpacing/>
        <w:jc w:val="both"/>
        <w:rPr>
          <w:rFonts w:eastAsia="Calibri"/>
          <w:sz w:val="28"/>
          <w:szCs w:val="22"/>
          <w:lang w:eastAsia="en-US"/>
        </w:rPr>
      </w:pPr>
      <w:r>
        <w:rPr>
          <w:rFonts w:eastAsia="Calibri"/>
          <w:sz w:val="28"/>
          <w:szCs w:val="22"/>
          <w:lang w:eastAsia="en-US"/>
        </w:rPr>
        <w:t>Основной задачей государственного регулирования в сфере пассажирских перевозок является формирование условий для устойчивого функционирования пассажирского комплекса в целях наиболее полного удовлетворения потребности населения в передвижении наряду с обеспечением безопасности и высококачественного обслуживания пассажиров.</w:t>
      </w:r>
    </w:p>
    <w:p w:rsidR="007F320D" w:rsidRDefault="007F320D" w:rsidP="007F320D">
      <w:pPr>
        <w:ind w:firstLine="720"/>
        <w:jc w:val="both"/>
        <w:rPr>
          <w:sz w:val="28"/>
          <w:szCs w:val="28"/>
        </w:rPr>
      </w:pPr>
      <w:r>
        <w:rPr>
          <w:rFonts w:eastAsia="Calibri"/>
          <w:sz w:val="28"/>
          <w:szCs w:val="22"/>
          <w:lang w:eastAsia="en-US"/>
        </w:rPr>
        <w:lastRenderedPageBreak/>
        <w:t>В настоящее время деятельность автотранспортных компаний, осуществляющих выполнение работ связанных с перевозкой пассажиров на муниципальных маршрутах с регулируемым тарифом, является стабильно убыточной, в соответствии с пунктом 2 статьи 72 и пунктом 3 статьи 219 Бюджетного кодекса Российской Федерации государственные контракты заключаются в соответствии с планом-графиком закупок товаров, работ, услуг для обеспечения государственных (муниципальных) нужд,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и оплачиваются в пределах лимитов бюджетных обязательств.</w:t>
      </w:r>
      <w:r>
        <w:rPr>
          <w:sz w:val="28"/>
          <w:szCs w:val="28"/>
        </w:rPr>
        <w:t xml:space="preserve"> </w:t>
      </w:r>
    </w:p>
    <w:p w:rsidR="007F320D" w:rsidRDefault="007F320D" w:rsidP="007F320D">
      <w:pPr>
        <w:ind w:firstLine="720"/>
        <w:jc w:val="both"/>
        <w:rPr>
          <w:bCs/>
          <w:sz w:val="28"/>
          <w:szCs w:val="28"/>
        </w:rPr>
      </w:pPr>
      <w:r>
        <w:rPr>
          <w:sz w:val="28"/>
          <w:szCs w:val="28"/>
        </w:rPr>
        <w:t>Органы муниципальной власти субъектов РФ, выступая со стороны Заказчика, в нарушение прав Исполнителя ссылаясь на тот факт, что рассчитанная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от 20.10.2021 № 351 начальная (максимальная) цена контракта превышает размер бюджетных средств, предусмотренных на выполнение работ</w:t>
      </w:r>
      <w:r>
        <w:rPr>
          <w:bCs/>
          <w:sz w:val="28"/>
          <w:szCs w:val="28"/>
        </w:rPr>
        <w:t>, связанных с осуществлением регулярных перевозок по регулируемым тарифам</w:t>
      </w:r>
      <w:r>
        <w:rPr>
          <w:sz w:val="28"/>
          <w:szCs w:val="28"/>
        </w:rPr>
        <w:t>, начальная (максимальная) цена контракта будет определена с учетом статьи 72 Бюджетного кодекса Российской Федерации в объемах бюджетных средств, выделенных на указанные цели и занижают НМЦК рассчитанную в соответствии с методикой до суммы доведенных лимитов бюджетных обязательств на год на выполнение работ</w:t>
      </w:r>
      <w:r>
        <w:rPr>
          <w:bCs/>
          <w:sz w:val="28"/>
          <w:szCs w:val="28"/>
        </w:rPr>
        <w:t xml:space="preserve">, связанных с осуществлением регулярных перевозок по регулируемым тарифам по муниципальным маршрутам. </w:t>
      </w:r>
    </w:p>
    <w:p w:rsidR="007F320D" w:rsidRDefault="007F320D" w:rsidP="007F320D">
      <w:pPr>
        <w:ind w:firstLine="708"/>
        <w:jc w:val="both"/>
        <w:rPr>
          <w:rFonts w:eastAsia="Calibri"/>
          <w:sz w:val="28"/>
          <w:szCs w:val="22"/>
          <w:lang w:eastAsia="en-US"/>
        </w:rPr>
      </w:pPr>
      <w:r>
        <w:rPr>
          <w:rFonts w:eastAsia="Calibri"/>
          <w:sz w:val="28"/>
          <w:szCs w:val="22"/>
          <w:lang w:eastAsia="en-US"/>
        </w:rPr>
        <w:t>Так, согласно положениям Постановления № 239 на субъекты Российской Федерации возложена обязанность государственного ценового регулирования пассажирских перевозок, но при этом в регионах отсутствует методика формирования тарифа на перевозки автомобильным и электрическим наземным транспортом в городском сообщении по регулируемым тарифам. Зачастую данные тарифы устанавливаются непонятно каким образом, а порой не пересматриваются годами.</w:t>
      </w:r>
    </w:p>
    <w:p w:rsidR="007F320D" w:rsidRDefault="007F320D" w:rsidP="007F320D">
      <w:pPr>
        <w:ind w:firstLine="708"/>
        <w:jc w:val="both"/>
        <w:rPr>
          <w:rFonts w:eastAsia="Calibri"/>
          <w:sz w:val="28"/>
          <w:szCs w:val="22"/>
          <w:lang w:eastAsia="en-US"/>
        </w:rPr>
      </w:pPr>
      <w:r>
        <w:rPr>
          <w:rFonts w:eastAsia="Calibri"/>
          <w:sz w:val="28"/>
          <w:szCs w:val="22"/>
          <w:lang w:eastAsia="en-US"/>
        </w:rPr>
        <w:t>Между тем, согласно правовому обычаю в области государственного регулирования цен (тарифов) в Российской Федерации, в целях соблюдения баланса интересов юридических лиц, индивидуальных предпринимателей, осуществляющих регулируемые виды деятельности, потребителей услуг, в том числе, категории «Население», и оптимизации расходных обязательств бюджетов субъектов Российской Федерации, основами ценообразования в регулируемых сферах предусматривается установление не только максимального уровня тарифов, но и его минимального значения (для населения). Последнее позволяет исключить риски всех участников процесса регулирования.</w:t>
      </w:r>
    </w:p>
    <w:p w:rsidR="007F320D" w:rsidRDefault="007F320D" w:rsidP="007F320D">
      <w:pPr>
        <w:ind w:firstLine="708"/>
        <w:jc w:val="both"/>
        <w:rPr>
          <w:rFonts w:eastAsia="Calibri"/>
          <w:sz w:val="28"/>
          <w:szCs w:val="22"/>
          <w:lang w:eastAsia="en-US"/>
        </w:rPr>
      </w:pPr>
      <w:r>
        <w:rPr>
          <w:rFonts w:eastAsia="Calibri"/>
          <w:sz w:val="28"/>
          <w:szCs w:val="22"/>
          <w:lang w:eastAsia="en-US"/>
        </w:rPr>
        <w:t xml:space="preserve">Помимо этого, в условиях постоянно меняющихся цен на моторное топливо возникает необходимость в установлении механизма определения предельно </w:t>
      </w:r>
      <w:r>
        <w:rPr>
          <w:rFonts w:eastAsia="Calibri"/>
          <w:sz w:val="28"/>
          <w:szCs w:val="22"/>
          <w:lang w:eastAsia="en-US"/>
        </w:rPr>
        <w:lastRenderedPageBreak/>
        <w:t>минимального тарифа на одну поездку, который позволит обеспечить прозрачность и объективность ценообразования.</w:t>
      </w:r>
    </w:p>
    <w:p w:rsidR="007F320D" w:rsidRDefault="007F320D" w:rsidP="007F320D">
      <w:pPr>
        <w:ind w:firstLine="708"/>
        <w:jc w:val="both"/>
        <w:rPr>
          <w:rFonts w:eastAsia="Calibri"/>
          <w:sz w:val="28"/>
          <w:szCs w:val="22"/>
          <w:lang w:eastAsia="en-US"/>
        </w:rPr>
      </w:pPr>
      <w:r>
        <w:rPr>
          <w:rFonts w:eastAsia="Calibri"/>
          <w:sz w:val="28"/>
          <w:szCs w:val="22"/>
          <w:lang w:eastAsia="en-US"/>
        </w:rPr>
        <w:t>Проект постановления о внесении изменений, предлагает учитывать среднюю стоимость одной единицы измерения моторного топлива. Это позволит учесть стоимость всех основных видов топлива (дизельное топливо, бензин и природный газ) и получить более точную оценку средней стоимости. В случае установления тарифа городским наземным электрическим транспортом в случаях, установленных федеральными законами, средней стоимости в муниципальном образовании десяти киловатт/час электрической энергии (мощности) для категории потребителей «Население» и приравненным к ней категориям потребителей, согласно утвержденным тарифам на электрическую энергию (мощность) для категории потребителей «Население» и приравненным к ней категориям потребителей на очередной финансовый год.». Это обеспечит баланс интересов перевозчиков и пассажиров, а также будет способствовать развитию общественного транспорта.</w:t>
      </w:r>
    </w:p>
    <w:p w:rsidR="007F320D" w:rsidRDefault="007F320D" w:rsidP="007F320D">
      <w:pPr>
        <w:ind w:firstLine="708"/>
        <w:jc w:val="both"/>
        <w:rPr>
          <w:rFonts w:eastAsia="Calibri"/>
          <w:sz w:val="28"/>
          <w:szCs w:val="22"/>
          <w:lang w:eastAsia="en-US"/>
        </w:rPr>
      </w:pPr>
      <w:r>
        <w:rPr>
          <w:rFonts w:eastAsia="Calibri"/>
          <w:sz w:val="28"/>
          <w:szCs w:val="22"/>
          <w:lang w:eastAsia="en-US"/>
        </w:rPr>
        <w:t>Целью проекта является установление механизма расчёта предельно минимального тарифа на одну поездку для обеспечения прозрачности ценообразования и контроля за ценами на услуги общественного транспорта. Задачами проекта являются:</w:t>
      </w:r>
    </w:p>
    <w:p w:rsidR="007F320D" w:rsidRDefault="007F320D" w:rsidP="007F320D">
      <w:pPr>
        <w:numPr>
          <w:ilvl w:val="0"/>
          <w:numId w:val="9"/>
        </w:numPr>
        <w:ind w:left="0" w:firstLine="709"/>
        <w:contextualSpacing/>
        <w:jc w:val="both"/>
        <w:rPr>
          <w:rFonts w:eastAsia="Calibri"/>
          <w:sz w:val="28"/>
          <w:szCs w:val="22"/>
          <w:lang w:eastAsia="en-US"/>
        </w:rPr>
      </w:pPr>
      <w:r>
        <w:rPr>
          <w:rFonts w:eastAsia="Calibri"/>
          <w:sz w:val="28"/>
          <w:szCs w:val="22"/>
          <w:lang w:eastAsia="en-US"/>
        </w:rPr>
        <w:t>прозрачность определение предельно минимального тарифа;</w:t>
      </w:r>
    </w:p>
    <w:p w:rsidR="007F320D" w:rsidRDefault="007F320D" w:rsidP="007F320D">
      <w:pPr>
        <w:numPr>
          <w:ilvl w:val="0"/>
          <w:numId w:val="9"/>
        </w:numPr>
        <w:ind w:left="0" w:firstLine="709"/>
        <w:contextualSpacing/>
        <w:jc w:val="both"/>
        <w:rPr>
          <w:rFonts w:eastAsia="Calibri"/>
          <w:sz w:val="28"/>
          <w:szCs w:val="22"/>
          <w:lang w:eastAsia="en-US"/>
        </w:rPr>
      </w:pPr>
      <w:r>
        <w:rPr>
          <w:rFonts w:eastAsia="Calibri"/>
          <w:sz w:val="28"/>
          <w:szCs w:val="22"/>
          <w:lang w:eastAsia="en-US"/>
        </w:rPr>
        <w:t>обеспечение доступности информации о предельно минимальном тарифе для потребителей и контролирующих органов;</w:t>
      </w:r>
    </w:p>
    <w:p w:rsidR="007F320D" w:rsidRDefault="007F320D" w:rsidP="007F320D">
      <w:pPr>
        <w:numPr>
          <w:ilvl w:val="0"/>
          <w:numId w:val="9"/>
        </w:numPr>
        <w:ind w:left="0" w:firstLine="709"/>
        <w:contextualSpacing/>
        <w:jc w:val="both"/>
        <w:rPr>
          <w:rFonts w:eastAsia="Calibri"/>
          <w:sz w:val="28"/>
          <w:szCs w:val="22"/>
          <w:lang w:eastAsia="en-US"/>
        </w:rPr>
      </w:pPr>
      <w:r>
        <w:rPr>
          <w:rFonts w:eastAsia="Calibri"/>
          <w:sz w:val="28"/>
          <w:szCs w:val="22"/>
          <w:lang w:eastAsia="en-US"/>
        </w:rPr>
        <w:t>повышение эффективности государственного регулирования цен на услуги общественного транспорта.</w:t>
      </w:r>
    </w:p>
    <w:p w:rsidR="007F320D" w:rsidRDefault="007F320D" w:rsidP="007F320D">
      <w:pPr>
        <w:ind w:firstLine="708"/>
        <w:jc w:val="both"/>
        <w:rPr>
          <w:rFonts w:eastAsia="Calibri"/>
          <w:color w:val="000000"/>
          <w:sz w:val="28"/>
          <w:szCs w:val="22"/>
          <w:lang w:bidi="ru-RU"/>
        </w:rPr>
      </w:pPr>
      <w:r>
        <w:rPr>
          <w:rFonts w:eastAsia="Calibri"/>
          <w:sz w:val="28"/>
          <w:szCs w:val="22"/>
          <w:lang w:eastAsia="en-US"/>
        </w:rPr>
        <w:t xml:space="preserve">Ожидается, что принятие проекта позволит установить прозрачный и объективный механизм расчёта предельно минимального тарифа на одну поездку. Это будет способствовать контролю за ценами, а также обеспечению баланса интересов перевозчиков и пассажиров. </w:t>
      </w:r>
      <w:r>
        <w:rPr>
          <w:rFonts w:eastAsia="Calibri"/>
          <w:color w:val="000000"/>
          <w:sz w:val="28"/>
          <w:szCs w:val="22"/>
          <w:lang w:bidi="ru-RU"/>
        </w:rPr>
        <w:t>Риски, связанные с принятием проекта, включают возможность ошибок при сборе и обработке данных о стоимости топлива. Однако эти риски могут быть минимизированы путём чёткого определения порядка сбора и обработки данных.</w:t>
      </w:r>
    </w:p>
    <w:p w:rsidR="007F320D" w:rsidRDefault="007F320D" w:rsidP="007F320D">
      <w:pPr>
        <w:ind w:firstLine="708"/>
        <w:jc w:val="both"/>
        <w:rPr>
          <w:rFonts w:eastAsia="Calibri"/>
          <w:color w:val="000000"/>
          <w:sz w:val="28"/>
          <w:szCs w:val="22"/>
          <w:lang w:bidi="ru-RU"/>
        </w:rPr>
      </w:pPr>
      <w:r>
        <w:rPr>
          <w:rFonts w:eastAsia="Calibri"/>
          <w:color w:val="000000"/>
          <w:sz w:val="28"/>
          <w:szCs w:val="22"/>
          <w:lang w:bidi="ru-RU"/>
        </w:rPr>
        <w:t>Реализация проекта не потребует дополнительных финансовых ресурсов. Все необходимые данные о стоимости топлива уже доступны и могут быть использованы для расчета средней стоимости по предложенной формуле.</w:t>
      </w:r>
    </w:p>
    <w:p w:rsidR="007F320D" w:rsidRDefault="007F320D" w:rsidP="007F320D">
      <w:pPr>
        <w:ind w:firstLine="708"/>
        <w:jc w:val="both"/>
        <w:rPr>
          <w:rFonts w:eastAsia="Calibri"/>
          <w:color w:val="000000"/>
          <w:sz w:val="28"/>
          <w:szCs w:val="22"/>
          <w:lang w:bidi="ru-RU"/>
        </w:rPr>
      </w:pPr>
      <w:r>
        <w:rPr>
          <w:rFonts w:eastAsia="Calibri"/>
          <w:color w:val="000000"/>
          <w:sz w:val="28"/>
          <w:szCs w:val="22"/>
          <w:lang w:bidi="ru-RU"/>
        </w:rPr>
        <w:t>Издание предлагаемого постановления Правительства Российской Федерации не потребует дополнительных расходов из бюджетов бюджетной системы Российской Федерации, а также будет способствовать сокращению экономических издержек бюджетов в субъектах Российской Федерации, поскольку тарифы в некоторых муниципальных образованиях давно не соответствуют реалиям настоящего времени.</w:t>
      </w:r>
    </w:p>
    <w:p w:rsidR="00622AC4" w:rsidRPr="00622AC4" w:rsidRDefault="007F320D" w:rsidP="007F320D">
      <w:pPr>
        <w:ind w:firstLine="708"/>
        <w:jc w:val="both"/>
        <w:rPr>
          <w:rFonts w:eastAsia="Calibri"/>
          <w:color w:val="000000"/>
          <w:sz w:val="28"/>
          <w:szCs w:val="22"/>
          <w:lang w:bidi="ru-RU"/>
        </w:rPr>
      </w:pPr>
      <w:r>
        <w:rPr>
          <w:rFonts w:eastAsia="Calibri"/>
          <w:color w:val="000000"/>
          <w:sz w:val="28"/>
          <w:szCs w:val="22"/>
          <w:lang w:bidi="ru-RU"/>
        </w:rPr>
        <w:t>Согласно проведенному анализу по субъектам Российской Федерации тарифы по регионам отличаются порой в несколько раз, при этом несмотря на то что внесение изменений по некоторым субъектам вызовет рост тарифа для населения, этот рост будет не значительным. Для наглядности представляем Вашему вниманию анализ тарифов по субъектам с прогнозируемым ростом или снижением.</w:t>
      </w:r>
      <w:bookmarkStart w:id="0" w:name="_GoBack"/>
      <w:bookmarkEnd w:id="0"/>
    </w:p>
    <w:p w:rsidR="00622AC4" w:rsidRPr="00622AC4" w:rsidRDefault="00622AC4" w:rsidP="00622AC4">
      <w:pPr>
        <w:ind w:firstLine="708"/>
        <w:jc w:val="both"/>
        <w:rPr>
          <w:rFonts w:eastAsia="Calibri"/>
          <w:color w:val="000000"/>
          <w:sz w:val="28"/>
          <w:szCs w:val="22"/>
          <w:lang w:bidi="ru-RU"/>
        </w:rPr>
      </w:pPr>
    </w:p>
    <w:tbl>
      <w:tblPr>
        <w:tblStyle w:val="ab"/>
        <w:tblW w:w="0" w:type="auto"/>
        <w:tblLook w:val="04A0" w:firstRow="1" w:lastRow="0" w:firstColumn="1" w:lastColumn="0" w:noHBand="0" w:noVBand="1"/>
      </w:tblPr>
      <w:tblGrid>
        <w:gridCol w:w="3623"/>
        <w:gridCol w:w="1261"/>
        <w:gridCol w:w="689"/>
        <w:gridCol w:w="949"/>
        <w:gridCol w:w="689"/>
        <w:gridCol w:w="1350"/>
        <w:gridCol w:w="1350"/>
      </w:tblGrid>
      <w:tr w:rsidR="00622AC4" w:rsidRPr="00622AC4" w:rsidTr="00622AC4">
        <w:tc>
          <w:tcPr>
            <w:tcW w:w="3623" w:type="dxa"/>
          </w:tcPr>
          <w:p w:rsidR="00622AC4" w:rsidRPr="00622AC4" w:rsidRDefault="00622AC4" w:rsidP="00622AC4">
            <w:pPr>
              <w:jc w:val="center"/>
              <w:rPr>
                <w:color w:val="000000"/>
                <w:sz w:val="16"/>
                <w:szCs w:val="16"/>
              </w:rPr>
            </w:pPr>
            <w:r w:rsidRPr="00622AC4">
              <w:rPr>
                <w:color w:val="000000"/>
                <w:sz w:val="16"/>
                <w:szCs w:val="16"/>
              </w:rPr>
              <w:t>Регион</w:t>
            </w:r>
          </w:p>
        </w:tc>
        <w:tc>
          <w:tcPr>
            <w:tcW w:w="1261" w:type="dxa"/>
          </w:tcPr>
          <w:p w:rsidR="00622AC4" w:rsidRPr="00622AC4" w:rsidRDefault="00622AC4" w:rsidP="00622AC4">
            <w:pPr>
              <w:jc w:val="center"/>
              <w:rPr>
                <w:color w:val="000000"/>
                <w:sz w:val="16"/>
                <w:szCs w:val="16"/>
              </w:rPr>
            </w:pPr>
            <w:r w:rsidRPr="00622AC4">
              <w:rPr>
                <w:color w:val="000000"/>
                <w:sz w:val="16"/>
                <w:szCs w:val="16"/>
              </w:rPr>
              <w:t>Текущий тариф</w:t>
            </w:r>
          </w:p>
        </w:tc>
        <w:tc>
          <w:tcPr>
            <w:tcW w:w="689" w:type="dxa"/>
          </w:tcPr>
          <w:p w:rsidR="00622AC4" w:rsidRPr="00622AC4" w:rsidRDefault="00622AC4" w:rsidP="00622AC4">
            <w:pPr>
              <w:jc w:val="center"/>
              <w:rPr>
                <w:color w:val="000000"/>
                <w:sz w:val="16"/>
                <w:szCs w:val="16"/>
              </w:rPr>
            </w:pPr>
            <w:r w:rsidRPr="00622AC4">
              <w:rPr>
                <w:color w:val="000000"/>
                <w:sz w:val="16"/>
                <w:szCs w:val="16"/>
              </w:rPr>
              <w:t>АИ92 мин.</w:t>
            </w:r>
          </w:p>
        </w:tc>
        <w:tc>
          <w:tcPr>
            <w:tcW w:w="949" w:type="dxa"/>
          </w:tcPr>
          <w:p w:rsidR="00622AC4" w:rsidRPr="00622AC4" w:rsidRDefault="00622AC4" w:rsidP="00622AC4">
            <w:pPr>
              <w:jc w:val="center"/>
              <w:rPr>
                <w:color w:val="000000"/>
                <w:sz w:val="16"/>
                <w:szCs w:val="16"/>
              </w:rPr>
            </w:pPr>
            <w:r w:rsidRPr="00622AC4">
              <w:rPr>
                <w:color w:val="000000"/>
                <w:sz w:val="16"/>
                <w:szCs w:val="16"/>
              </w:rPr>
              <w:t>ДТ мин.</w:t>
            </w:r>
          </w:p>
        </w:tc>
        <w:tc>
          <w:tcPr>
            <w:tcW w:w="689" w:type="dxa"/>
          </w:tcPr>
          <w:p w:rsidR="00622AC4" w:rsidRPr="00622AC4" w:rsidRDefault="00622AC4" w:rsidP="00622AC4">
            <w:pPr>
              <w:jc w:val="center"/>
              <w:rPr>
                <w:color w:val="000000"/>
                <w:sz w:val="16"/>
                <w:szCs w:val="16"/>
              </w:rPr>
            </w:pPr>
            <w:r w:rsidRPr="00622AC4">
              <w:rPr>
                <w:color w:val="000000"/>
                <w:sz w:val="16"/>
                <w:szCs w:val="16"/>
              </w:rPr>
              <w:t>ГАЗ мин.</w:t>
            </w:r>
          </w:p>
        </w:tc>
        <w:tc>
          <w:tcPr>
            <w:tcW w:w="1350" w:type="dxa"/>
          </w:tcPr>
          <w:p w:rsidR="00622AC4" w:rsidRPr="00622AC4" w:rsidRDefault="00622AC4" w:rsidP="00622AC4">
            <w:pPr>
              <w:jc w:val="center"/>
              <w:rPr>
                <w:color w:val="000000"/>
                <w:sz w:val="16"/>
                <w:szCs w:val="16"/>
              </w:rPr>
            </w:pPr>
            <w:r w:rsidRPr="00622AC4">
              <w:rPr>
                <w:color w:val="000000"/>
                <w:sz w:val="16"/>
                <w:szCs w:val="16"/>
              </w:rPr>
              <w:t>Тариф с применением изменений</w:t>
            </w:r>
          </w:p>
        </w:tc>
        <w:tc>
          <w:tcPr>
            <w:tcW w:w="1350" w:type="dxa"/>
          </w:tcPr>
          <w:p w:rsidR="00622AC4" w:rsidRPr="00622AC4" w:rsidRDefault="00622AC4" w:rsidP="00622AC4">
            <w:pPr>
              <w:rPr>
                <w:color w:val="000000"/>
                <w:sz w:val="16"/>
                <w:szCs w:val="16"/>
              </w:rPr>
            </w:pPr>
            <w:r w:rsidRPr="00622AC4">
              <w:rPr>
                <w:color w:val="000000"/>
                <w:sz w:val="16"/>
                <w:szCs w:val="16"/>
              </w:rPr>
              <w:t>Динамика</w:t>
            </w:r>
          </w:p>
        </w:tc>
      </w:tr>
      <w:tr w:rsidR="00622AC4" w:rsidRPr="00622AC4" w:rsidTr="00622AC4">
        <w:trPr>
          <w:trHeight w:val="315"/>
        </w:trPr>
        <w:tc>
          <w:tcPr>
            <w:tcW w:w="3623" w:type="dxa"/>
            <w:noWrap/>
          </w:tcPr>
          <w:p w:rsidR="00622AC4" w:rsidRPr="00622AC4" w:rsidRDefault="00622AC4" w:rsidP="00622AC4">
            <w:pPr>
              <w:rPr>
                <w:color w:val="000000"/>
                <w:sz w:val="16"/>
                <w:szCs w:val="16"/>
              </w:rPr>
            </w:pPr>
            <w:r w:rsidRPr="00622AC4">
              <w:rPr>
                <w:color w:val="000000"/>
                <w:sz w:val="16"/>
                <w:szCs w:val="16"/>
              </w:rPr>
              <w:t>1. Республика Адыгея (Адыгея)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54,15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62,21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28,51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48,29</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18,29</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 Республика Алтай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53,03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68,89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31,16</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51,02666667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26,02666667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 Республика Башкортостан</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51,23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63,22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27,56</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47,33666667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6,336666667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 Республика Бурятия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53,94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70,63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31,99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52,18666667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22,18666667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 Республика Дагестан</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54,63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65,17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30,18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49,99333333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17,99333333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 Республика Ингушетия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53,81</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62,48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7,696666667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 Кабардино-Балкарская Республика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15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54,07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62,02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29,47</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48,52</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33,52</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8. Республика Калмыкия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17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54,79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63,66</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30,25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49,56666667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32,56666667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9. Карачаево-Черкесская Республика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53,53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27,41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47,64666667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25,64666667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10. Республика Карелия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50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53,36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68,63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35,04</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52,34333333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2,343333333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11. Республика Коми</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50,61</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66,93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46,84666667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11,84666667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12. Республика Крым</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56,87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68,99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35,72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53,86</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23,86</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13. Республика Марий Эл</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50,65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61,11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26,83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46,19666667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17,19666667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14. Республика Мордовия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52,55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28,55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48,36666667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17,36666667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15. Республика Саха (Якутия)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64,32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80,23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25,5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56,68333333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11,68333333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16. Республика Северная Осетия – Алания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13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62,01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48,13666667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35,13666667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17. Республика Татарстан (Татарстан)</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50,56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60,49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26,64</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45,89666667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3,896666667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18. Республика Тыва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59,23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78,22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23,83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53,76</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21,76</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19. Удмуртская Республика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52,07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64,6</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28,26</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48,31</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13,31</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20. Республика Хакасия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51,77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68,92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34,9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51,86333333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23,86333333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21. Чеченская Республика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52,44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60,59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31,22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48,08333333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18,08333333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22. Чувашская Республика – Чувашия</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50,48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61,1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26,03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45,87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11,87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23. Алтайский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50,72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67,09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29,05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48,95333333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13,95333333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24. Забайкальский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58,17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78,23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29,95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55,45</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15,45</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25. Камчатский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62,63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80,85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29,29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57,59</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17,59</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26. Краснодарский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53,84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62,28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28,77</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48,29666667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8,296666667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27. Красноярский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52,65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70,97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30,34</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51,32</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7,32</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28. Пермский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53,02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67,12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24,05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48,06333333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11,06333333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29. Приморский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56,45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72,68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34</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54,37666667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9,376666667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30. Ставропольский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54,11</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63,61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28,09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48,60333333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28,60333333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31. Хабаровский край</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55,29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70,89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30,55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52,24333333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7,243333333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32. Амурская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55,83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71,03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23,83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50,23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12,23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33. Архангельская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53,53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68,14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29,85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50,50666667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10,50666667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34. Астраханская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52,02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64,73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26,68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47,81</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16,81</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35. Белгородская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52,76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62,33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28,09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47,72666667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22,72666667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36. Брянская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51,74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61,12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46,95333333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16,95333333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37. Владимирская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52,68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63,44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28,71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48,27666667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13,27666667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38. Волгоградская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53,48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64,02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28,49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48,66333333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13,66333333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39. Вологодская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54,03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67,48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24</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48,50333333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10,50333333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40. Воронежская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53,59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63,12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26,95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47,88666667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14,88666667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41. Ивановская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52,76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63,71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28,85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48,44</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20,44</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42. Иркутская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53,53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71,09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32,03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52,21666667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22,21666667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43. Калининградская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56,36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66,91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52,75666667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15,75666667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lastRenderedPageBreak/>
              <w:t>44. Калужская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50,59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62,24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27,52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46,78333333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11,78333333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45. Кемеровская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27,63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48,14333333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10,14333333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46. Кировская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52,37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65,92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49,09666667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9,096666667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47. Костромская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52,19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65,58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25,48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47,75</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12,75</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48. Курганская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50,44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70,78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24,69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48,63666667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16,63666667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49. Курская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52,47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62,69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27,62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47,59333333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14,59333333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50. Ленинградская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65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53,38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66,09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29,07</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49,51333333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-15,48666667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51. Липецкая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52,79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62,58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26,52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47,29666667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13,29666667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52. Магаданская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75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52,64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65,46</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23,81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47,30333333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-27,69666667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53. Московская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70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52,42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64,34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28,42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48,39333333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-21,60666667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54. Мурманская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54,82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70,87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30,96</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52,21666667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12,21666667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55. Нижегородская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52,56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63,28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28,68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48,17333333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8,173333333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56. Новгородская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53,63</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66,01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29,25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49,63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9,63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57. Новосибирская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51,44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68,77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27,25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49,15333333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14,15333333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58. Омская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50,04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25,87</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47,07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7,07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59. Оренбургская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50,82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64,02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27,65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47,49666667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17,49666667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60. Орловская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51,96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61,01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26,78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46,58333333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18,58333333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61. Пензенская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52,25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64,03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27,19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47,82333333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20,82333333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62. Псковская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36</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53,31</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27,51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49,10666667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13,10666667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63. Ростовская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53,78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62,59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29,64</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9,67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64. Рязанская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64,33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30,37</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48,83333333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19,83333333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65. Самарская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62,81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27,51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47,00666667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9,006666667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66. Саратовская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53,14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64,65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28,28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48,69</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13,69</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67. Сахалинская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57,88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76,87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54,41666667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22,41666667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68. Свердловская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51,95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65,64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25,76</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47,78333333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12,78333333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69. Смоленская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52,48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63,81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27,52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47,93666667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17,93666667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70. Тамбовская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53,02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61,06</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26,65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46,91</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19,91</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71. Тверская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52,66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65,39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29,43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49,16</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18,16</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72. Томская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50,69</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67,84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27,36</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19,63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73. Тульская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63,53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29,18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48,50333333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18,50333333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74. Тюменская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52,02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24,63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47,51666667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16,51666667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75. Ульяновская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51,35</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62,94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27,31</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47,2</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12,2</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76. Челябинская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49,16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64,24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24,9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46,1</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11,1</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77. Ярославская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51,16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63,72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32,13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49,00333333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17,00333333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78. Город Москва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70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53,04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64,55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28,38</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48,65666667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-21,34333333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79. Город Санкт-Петербург</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65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53,42</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66,1</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28,59</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49,37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-15,63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80. Город Севастополь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30</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56,76</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68,39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35,95</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53,7</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23,7</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81. Еврейская автономная область</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56,18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72,48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23,83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50,83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21,83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82. Ненецкий автономный округ</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47</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55,51</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70,98</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49,83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2,83</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83. Ханты-Мансийский автономный округ – Югра</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32</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52,54</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71,24</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27,3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50,36</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18,36</w:t>
            </w:r>
          </w:p>
        </w:tc>
      </w:tr>
      <w:tr w:rsidR="00622AC4" w:rsidRPr="00622AC4" w:rsidTr="00622AC4">
        <w:trPr>
          <w:trHeight w:val="300"/>
        </w:trPr>
        <w:tc>
          <w:tcPr>
            <w:tcW w:w="3623" w:type="dxa"/>
            <w:noWrap/>
          </w:tcPr>
          <w:p w:rsidR="00622AC4" w:rsidRPr="00622AC4" w:rsidRDefault="00622AC4" w:rsidP="00622AC4">
            <w:pPr>
              <w:rPr>
                <w:color w:val="000000"/>
                <w:sz w:val="16"/>
                <w:szCs w:val="16"/>
              </w:rPr>
            </w:pPr>
            <w:r w:rsidRPr="00622AC4">
              <w:rPr>
                <w:color w:val="000000"/>
                <w:sz w:val="16"/>
                <w:szCs w:val="16"/>
              </w:rPr>
              <w:t>84. Чукотский автономный округ</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0 (Бесплатно)</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52,67</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65,49</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23,83</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47,33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47,33</w:t>
            </w:r>
          </w:p>
        </w:tc>
      </w:tr>
      <w:tr w:rsidR="00622AC4" w:rsidRPr="00622AC4" w:rsidTr="00622AC4">
        <w:trPr>
          <w:trHeight w:val="315"/>
        </w:trPr>
        <w:tc>
          <w:tcPr>
            <w:tcW w:w="3623" w:type="dxa"/>
            <w:noWrap/>
          </w:tcPr>
          <w:p w:rsidR="00622AC4" w:rsidRPr="00622AC4" w:rsidRDefault="00622AC4" w:rsidP="00622AC4">
            <w:pPr>
              <w:rPr>
                <w:color w:val="000000"/>
                <w:sz w:val="16"/>
                <w:szCs w:val="16"/>
              </w:rPr>
            </w:pPr>
            <w:r w:rsidRPr="00622AC4">
              <w:rPr>
                <w:color w:val="000000"/>
                <w:sz w:val="16"/>
                <w:szCs w:val="16"/>
              </w:rPr>
              <w:t>85. Ямало-Ненецкий автономный округ</w:t>
            </w:r>
          </w:p>
        </w:tc>
        <w:tc>
          <w:tcPr>
            <w:tcW w:w="1261" w:type="dxa"/>
            <w:noWrap/>
          </w:tcPr>
          <w:p w:rsidR="00622AC4" w:rsidRPr="00622AC4" w:rsidRDefault="00622AC4" w:rsidP="00622AC4">
            <w:pPr>
              <w:jc w:val="center"/>
              <w:rPr>
                <w:color w:val="000000"/>
                <w:sz w:val="16"/>
                <w:szCs w:val="16"/>
              </w:rPr>
            </w:pPr>
            <w:r w:rsidRPr="00622AC4">
              <w:rPr>
                <w:color w:val="000000"/>
                <w:sz w:val="16"/>
                <w:szCs w:val="16"/>
              </w:rPr>
              <w:t>23</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51,18</w:t>
            </w:r>
          </w:p>
        </w:tc>
        <w:tc>
          <w:tcPr>
            <w:tcW w:w="949" w:type="dxa"/>
            <w:noWrap/>
          </w:tcPr>
          <w:p w:rsidR="00622AC4" w:rsidRPr="00622AC4" w:rsidRDefault="00622AC4" w:rsidP="00622AC4">
            <w:pPr>
              <w:jc w:val="center"/>
              <w:rPr>
                <w:color w:val="000000"/>
                <w:sz w:val="16"/>
                <w:szCs w:val="16"/>
              </w:rPr>
            </w:pPr>
            <w:r w:rsidRPr="00622AC4">
              <w:rPr>
                <w:color w:val="000000"/>
                <w:sz w:val="16"/>
                <w:szCs w:val="16"/>
              </w:rPr>
              <w:t>70,95</w:t>
            </w:r>
          </w:p>
        </w:tc>
        <w:tc>
          <w:tcPr>
            <w:tcW w:w="689" w:type="dxa"/>
            <w:noWrap/>
          </w:tcPr>
          <w:p w:rsidR="00622AC4" w:rsidRPr="00622AC4" w:rsidRDefault="00622AC4" w:rsidP="00622AC4">
            <w:pPr>
              <w:jc w:val="center"/>
              <w:rPr>
                <w:color w:val="000000"/>
                <w:sz w:val="16"/>
                <w:szCs w:val="16"/>
              </w:rPr>
            </w:pPr>
            <w:r w:rsidRPr="00622AC4">
              <w:rPr>
                <w:color w:val="000000"/>
                <w:sz w:val="16"/>
                <w:szCs w:val="16"/>
              </w:rPr>
              <w:t>25,72</w:t>
            </w:r>
          </w:p>
        </w:tc>
        <w:tc>
          <w:tcPr>
            <w:tcW w:w="1350" w:type="dxa"/>
            <w:noWrap/>
          </w:tcPr>
          <w:p w:rsidR="00622AC4" w:rsidRPr="00622AC4" w:rsidRDefault="00622AC4" w:rsidP="00622AC4">
            <w:pPr>
              <w:jc w:val="center"/>
              <w:rPr>
                <w:color w:val="000000"/>
                <w:sz w:val="16"/>
                <w:szCs w:val="16"/>
              </w:rPr>
            </w:pPr>
            <w:r w:rsidRPr="00622AC4">
              <w:rPr>
                <w:color w:val="000000"/>
                <w:sz w:val="16"/>
                <w:szCs w:val="16"/>
              </w:rPr>
              <w:t>49,28333333</w:t>
            </w:r>
          </w:p>
        </w:tc>
        <w:tc>
          <w:tcPr>
            <w:tcW w:w="1350" w:type="dxa"/>
            <w:noWrap/>
          </w:tcPr>
          <w:p w:rsidR="00622AC4" w:rsidRPr="00622AC4" w:rsidRDefault="00622AC4" w:rsidP="00622AC4">
            <w:pPr>
              <w:jc w:val="right"/>
              <w:rPr>
                <w:color w:val="000000"/>
                <w:sz w:val="16"/>
                <w:szCs w:val="16"/>
              </w:rPr>
            </w:pPr>
            <w:r w:rsidRPr="00622AC4">
              <w:rPr>
                <w:color w:val="000000"/>
                <w:sz w:val="16"/>
                <w:szCs w:val="16"/>
              </w:rPr>
              <w:t>26,28333333</w:t>
            </w:r>
          </w:p>
        </w:tc>
      </w:tr>
    </w:tbl>
    <w:p w:rsidR="00622AC4" w:rsidRPr="00622AC4" w:rsidRDefault="00622AC4" w:rsidP="00622AC4">
      <w:pPr>
        <w:ind w:firstLine="708"/>
        <w:jc w:val="both"/>
        <w:rPr>
          <w:rFonts w:eastAsia="Calibri"/>
          <w:color w:val="000000"/>
          <w:sz w:val="28"/>
          <w:szCs w:val="22"/>
          <w:lang w:bidi="ru-RU"/>
        </w:rPr>
      </w:pPr>
      <w:r w:rsidRPr="00622AC4">
        <w:rPr>
          <w:rFonts w:eastAsia="Calibri"/>
          <w:color w:val="000000"/>
          <w:sz w:val="28"/>
          <w:szCs w:val="22"/>
          <w:lang w:bidi="ru-RU"/>
        </w:rPr>
        <w:t>Проект может быть реализован в течении нескольких месяцев после его утверждения.</w:t>
      </w:r>
    </w:p>
    <w:p w:rsidR="00C25C4E" w:rsidRDefault="00622AC4" w:rsidP="00622AC4">
      <w:pPr>
        <w:ind w:firstLine="708"/>
        <w:jc w:val="both"/>
        <w:rPr>
          <w:rFonts w:eastAsia="Calibri"/>
          <w:sz w:val="28"/>
          <w:szCs w:val="22"/>
          <w:lang w:eastAsia="en-US"/>
        </w:rPr>
      </w:pPr>
      <w:r w:rsidRPr="00622AC4">
        <w:rPr>
          <w:rFonts w:eastAsia="Calibri"/>
          <w:sz w:val="28"/>
          <w:szCs w:val="22"/>
          <w:lang w:eastAsia="en-US"/>
        </w:rPr>
        <w:lastRenderedPageBreak/>
        <w:t>Издание проекта постановления не требует проведения анализа правоприменительной практики, обусловившей необходимость изменения правового регулирования.</w:t>
      </w:r>
    </w:p>
    <w:sectPr w:rsidR="00C25C4E" w:rsidSect="00FF2E8F">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ED" w:rsidRDefault="004271ED">
      <w:r>
        <w:separator/>
      </w:r>
    </w:p>
  </w:endnote>
  <w:endnote w:type="continuationSeparator" w:id="0">
    <w:p w:rsidR="004271ED" w:rsidRDefault="00427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4D" w:rsidRDefault="001D614D">
    <w:pPr>
      <w:pBdr>
        <w:top w:val="nil"/>
        <w:left w:val="nil"/>
        <w:bottom w:val="nil"/>
        <w:right w:val="nil"/>
        <w:between w:val="nil"/>
      </w:pBdr>
      <w:tabs>
        <w:tab w:val="center" w:pos="4677"/>
        <w:tab w:val="right" w:pos="9355"/>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4D" w:rsidRDefault="001D614D">
    <w:pPr>
      <w:pBdr>
        <w:top w:val="nil"/>
        <w:left w:val="nil"/>
        <w:bottom w:val="nil"/>
        <w:right w:val="nil"/>
        <w:between w:val="nil"/>
      </w:pBdr>
      <w:tabs>
        <w:tab w:val="center" w:pos="4677"/>
        <w:tab w:val="right" w:pos="9355"/>
      </w:tabs>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4D" w:rsidRDefault="001D614D">
    <w:pPr>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ED" w:rsidRDefault="004271ED">
      <w:r>
        <w:separator/>
      </w:r>
    </w:p>
  </w:footnote>
  <w:footnote w:type="continuationSeparator" w:id="0">
    <w:p w:rsidR="004271ED" w:rsidRDefault="00427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4D" w:rsidRDefault="001D614D">
    <w:pPr>
      <w:pBdr>
        <w:top w:val="nil"/>
        <w:left w:val="nil"/>
        <w:bottom w:val="nil"/>
        <w:right w:val="nil"/>
        <w:between w:val="nil"/>
      </w:pBdr>
      <w:tabs>
        <w:tab w:val="center" w:pos="4677"/>
        <w:tab w:val="right" w:pos="9355"/>
      </w:tabs>
      <w:rPr>
        <w:rFonts w:ascii="Calibri" w:eastAsia="Calibri" w:hAnsi="Calibri" w:cs="Calibri"/>
        <w:color w:val="000000"/>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283915"/>
      <w:docPartObj>
        <w:docPartGallery w:val="Page Numbers (Top of Page)"/>
        <w:docPartUnique/>
      </w:docPartObj>
    </w:sdtPr>
    <w:sdtEndPr/>
    <w:sdtContent>
      <w:p w:rsidR="001D614D" w:rsidRDefault="001D614D">
        <w:pPr>
          <w:pStyle w:val="a9"/>
          <w:jc w:val="center"/>
        </w:pPr>
        <w:r w:rsidRPr="00FF2E8F">
          <w:rPr>
            <w:rFonts w:ascii="Times New Roman" w:hAnsi="Times New Roman"/>
          </w:rPr>
          <w:fldChar w:fldCharType="begin"/>
        </w:r>
        <w:r w:rsidRPr="00FF2E8F">
          <w:rPr>
            <w:rFonts w:ascii="Times New Roman" w:hAnsi="Times New Roman"/>
          </w:rPr>
          <w:instrText>PAGE   \* MERGEFORMAT</w:instrText>
        </w:r>
        <w:r w:rsidRPr="00FF2E8F">
          <w:rPr>
            <w:rFonts w:ascii="Times New Roman" w:hAnsi="Times New Roman"/>
          </w:rPr>
          <w:fldChar w:fldCharType="separate"/>
        </w:r>
        <w:r w:rsidR="007F320D">
          <w:rPr>
            <w:rFonts w:ascii="Times New Roman" w:hAnsi="Times New Roman"/>
            <w:noProof/>
          </w:rPr>
          <w:t>2</w:t>
        </w:r>
        <w:r w:rsidRPr="00FF2E8F">
          <w:rPr>
            <w:rFonts w:ascii="Times New Roman" w:hAnsi="Times New Roman"/>
          </w:rPr>
          <w:fldChar w:fldCharType="end"/>
        </w:r>
      </w:p>
    </w:sdtContent>
  </w:sdt>
  <w:p w:rsidR="001D614D" w:rsidRDefault="001D614D">
    <w:pPr>
      <w:pBdr>
        <w:top w:val="nil"/>
        <w:left w:val="nil"/>
        <w:bottom w:val="nil"/>
        <w:right w:val="nil"/>
        <w:between w:val="nil"/>
      </w:pBdr>
      <w:tabs>
        <w:tab w:val="center" w:pos="4677"/>
        <w:tab w:val="right" w:pos="9355"/>
      </w:tabs>
      <w:rPr>
        <w:rFonts w:ascii="Calibri" w:eastAsia="Calibri" w:hAnsi="Calibri" w:cs="Calibri"/>
        <w:color w:val="000000"/>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14D" w:rsidRDefault="001D614D">
    <w:pPr>
      <w:pBdr>
        <w:top w:val="nil"/>
        <w:left w:val="nil"/>
        <w:bottom w:val="nil"/>
        <w:right w:val="nil"/>
        <w:between w:val="nil"/>
      </w:pBdr>
      <w:tabs>
        <w:tab w:val="center" w:pos="4677"/>
        <w:tab w:val="right" w:pos="9355"/>
      </w:tabs>
      <w:rPr>
        <w:rFonts w:ascii="Calibri" w:eastAsia="Calibri" w:hAnsi="Calibri" w:cs="Calibri"/>
        <w:color w:val="000000"/>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02D16"/>
    <w:multiLevelType w:val="hybridMultilevel"/>
    <w:tmpl w:val="A6EC413C"/>
    <w:lvl w:ilvl="0" w:tplc="04190013">
      <w:start w:val="1"/>
      <w:numFmt w:val="upperRoman"/>
      <w:lvlText w:val="%1."/>
      <w:lvlJc w:val="right"/>
      <w:pPr>
        <w:ind w:left="2130" w:hanging="360"/>
      </w:pPr>
      <w:rPr>
        <w:rFont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
    <w:nsid w:val="21834B53"/>
    <w:multiLevelType w:val="hybridMultilevel"/>
    <w:tmpl w:val="DBA29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7E3C76"/>
    <w:multiLevelType w:val="hybridMultilevel"/>
    <w:tmpl w:val="52D4FEDA"/>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3">
    <w:nsid w:val="43751B68"/>
    <w:multiLevelType w:val="hybridMultilevel"/>
    <w:tmpl w:val="3D52D750"/>
    <w:lvl w:ilvl="0" w:tplc="04190013">
      <w:start w:val="1"/>
      <w:numFmt w:val="upperRoman"/>
      <w:lvlText w:val="%1."/>
      <w:lvlJc w:val="right"/>
      <w:pPr>
        <w:ind w:left="2130" w:hanging="360"/>
      </w:pPr>
      <w:rPr>
        <w:rFont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4">
    <w:nsid w:val="482A2BFA"/>
    <w:multiLevelType w:val="hybridMultilevel"/>
    <w:tmpl w:val="911207D8"/>
    <w:lvl w:ilvl="0" w:tplc="0419000F">
      <w:start w:val="1"/>
      <w:numFmt w:val="decimal"/>
      <w:lvlText w:val="%1."/>
      <w:lvlJc w:val="left"/>
      <w:pPr>
        <w:ind w:left="2130" w:hanging="360"/>
      </w:pPr>
      <w:rPr>
        <w:rFont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5">
    <w:nsid w:val="529F7442"/>
    <w:multiLevelType w:val="hybridMultilevel"/>
    <w:tmpl w:val="2B107420"/>
    <w:lvl w:ilvl="0" w:tplc="6D34F06E">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5ED1041"/>
    <w:multiLevelType w:val="hybridMultilevel"/>
    <w:tmpl w:val="67A6E54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76A0263E"/>
    <w:multiLevelType w:val="hybridMultilevel"/>
    <w:tmpl w:val="1D1CFE2E"/>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2"/>
  </w:num>
  <w:num w:numId="6">
    <w:abstractNumId w:val="3"/>
  </w:num>
  <w:num w:numId="7">
    <w:abstractNumId w:val="6"/>
  </w:num>
  <w:num w:numId="8">
    <w:abstractNumId w:val="1"/>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5A"/>
    <w:rsid w:val="00004D23"/>
    <w:rsid w:val="00047019"/>
    <w:rsid w:val="000A047C"/>
    <w:rsid w:val="000C5D75"/>
    <w:rsid w:val="000C6F20"/>
    <w:rsid w:val="00113CE7"/>
    <w:rsid w:val="00156668"/>
    <w:rsid w:val="001D614D"/>
    <w:rsid w:val="0021412A"/>
    <w:rsid w:val="00216771"/>
    <w:rsid w:val="0026378C"/>
    <w:rsid w:val="00275380"/>
    <w:rsid w:val="002E53C9"/>
    <w:rsid w:val="00343141"/>
    <w:rsid w:val="00387251"/>
    <w:rsid w:val="00394D89"/>
    <w:rsid w:val="003C0D30"/>
    <w:rsid w:val="003F2C89"/>
    <w:rsid w:val="004271ED"/>
    <w:rsid w:val="004B0D61"/>
    <w:rsid w:val="004C21B8"/>
    <w:rsid w:val="004C5874"/>
    <w:rsid w:val="005057E1"/>
    <w:rsid w:val="005D2A64"/>
    <w:rsid w:val="005F2591"/>
    <w:rsid w:val="00621EC4"/>
    <w:rsid w:val="00622AC4"/>
    <w:rsid w:val="00643E45"/>
    <w:rsid w:val="006C76D2"/>
    <w:rsid w:val="006D38A6"/>
    <w:rsid w:val="006D6E62"/>
    <w:rsid w:val="00716054"/>
    <w:rsid w:val="0076719A"/>
    <w:rsid w:val="007B4ABB"/>
    <w:rsid w:val="007C265D"/>
    <w:rsid w:val="007E1CAC"/>
    <w:rsid w:val="007F320D"/>
    <w:rsid w:val="00893A57"/>
    <w:rsid w:val="0089432E"/>
    <w:rsid w:val="008A6BA9"/>
    <w:rsid w:val="008E4C1D"/>
    <w:rsid w:val="008E4EC2"/>
    <w:rsid w:val="009653ED"/>
    <w:rsid w:val="00967432"/>
    <w:rsid w:val="00996682"/>
    <w:rsid w:val="009F330A"/>
    <w:rsid w:val="00A13B57"/>
    <w:rsid w:val="00A20C63"/>
    <w:rsid w:val="00A61FE6"/>
    <w:rsid w:val="00AC7C80"/>
    <w:rsid w:val="00B04DF9"/>
    <w:rsid w:val="00B554E2"/>
    <w:rsid w:val="00BB40FD"/>
    <w:rsid w:val="00C25C4E"/>
    <w:rsid w:val="00C279A7"/>
    <w:rsid w:val="00CC1354"/>
    <w:rsid w:val="00CC1A51"/>
    <w:rsid w:val="00CC67DA"/>
    <w:rsid w:val="00D110AA"/>
    <w:rsid w:val="00D1362C"/>
    <w:rsid w:val="00D16B40"/>
    <w:rsid w:val="00D441B4"/>
    <w:rsid w:val="00D44D18"/>
    <w:rsid w:val="00E1254D"/>
    <w:rsid w:val="00E26E59"/>
    <w:rsid w:val="00E56E48"/>
    <w:rsid w:val="00EE167A"/>
    <w:rsid w:val="00F24A04"/>
    <w:rsid w:val="00F2659B"/>
    <w:rsid w:val="00F4285A"/>
    <w:rsid w:val="00FA1A16"/>
    <w:rsid w:val="00FA1D0E"/>
    <w:rsid w:val="00FC5589"/>
    <w:rsid w:val="00FD2DE2"/>
    <w:rsid w:val="00FF2579"/>
    <w:rsid w:val="00FF2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28AE92-53BB-41D0-A5F2-9F7D239C2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character" w:styleId="a6">
    <w:name w:val="Hyperlink"/>
    <w:basedOn w:val="a0"/>
    <w:uiPriority w:val="99"/>
    <w:unhideWhenUsed/>
    <w:rsid w:val="006D6E62"/>
    <w:rPr>
      <w:color w:val="0000FF" w:themeColor="hyperlink"/>
      <w:u w:val="single"/>
    </w:rPr>
  </w:style>
  <w:style w:type="paragraph" w:styleId="a7">
    <w:name w:val="Balloon Text"/>
    <w:basedOn w:val="a"/>
    <w:link w:val="a8"/>
    <w:uiPriority w:val="99"/>
    <w:semiHidden/>
    <w:unhideWhenUsed/>
    <w:rsid w:val="004C21B8"/>
    <w:rPr>
      <w:rFonts w:ascii="Segoe UI" w:hAnsi="Segoe UI" w:cs="Segoe UI"/>
      <w:sz w:val="18"/>
      <w:szCs w:val="18"/>
    </w:rPr>
  </w:style>
  <w:style w:type="character" w:customStyle="1" w:styleId="a8">
    <w:name w:val="Текст выноски Знак"/>
    <w:basedOn w:val="a0"/>
    <w:link w:val="a7"/>
    <w:uiPriority w:val="99"/>
    <w:semiHidden/>
    <w:rsid w:val="004C21B8"/>
    <w:rPr>
      <w:rFonts w:ascii="Segoe UI" w:hAnsi="Segoe UI" w:cs="Segoe UI"/>
      <w:sz w:val="18"/>
      <w:szCs w:val="18"/>
    </w:rPr>
  </w:style>
  <w:style w:type="paragraph" w:styleId="a9">
    <w:name w:val="header"/>
    <w:basedOn w:val="a"/>
    <w:link w:val="aa"/>
    <w:uiPriority w:val="99"/>
    <w:unhideWhenUsed/>
    <w:rsid w:val="00FF2E8F"/>
    <w:pPr>
      <w:tabs>
        <w:tab w:val="center" w:pos="4680"/>
        <w:tab w:val="right" w:pos="9360"/>
      </w:tabs>
    </w:pPr>
    <w:rPr>
      <w:rFonts w:asciiTheme="minorHAnsi" w:eastAsiaTheme="minorEastAsia" w:hAnsiTheme="minorHAnsi"/>
      <w:sz w:val="22"/>
      <w:szCs w:val="22"/>
    </w:rPr>
  </w:style>
  <w:style w:type="character" w:customStyle="1" w:styleId="aa">
    <w:name w:val="Верхний колонтитул Знак"/>
    <w:basedOn w:val="a0"/>
    <w:link w:val="a9"/>
    <w:uiPriority w:val="99"/>
    <w:rsid w:val="00FF2E8F"/>
    <w:rPr>
      <w:rFonts w:asciiTheme="minorHAnsi" w:eastAsiaTheme="minorEastAsia" w:hAnsiTheme="minorHAnsi"/>
      <w:sz w:val="22"/>
      <w:szCs w:val="22"/>
    </w:rPr>
  </w:style>
  <w:style w:type="table" w:styleId="ab">
    <w:name w:val="Table Grid"/>
    <w:basedOn w:val="a1"/>
    <w:uiPriority w:val="39"/>
    <w:rsid w:val="00622AC4"/>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1D6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24460">
      <w:bodyDiv w:val="1"/>
      <w:marLeft w:val="0"/>
      <w:marRight w:val="0"/>
      <w:marTop w:val="0"/>
      <w:marBottom w:val="0"/>
      <w:divBdr>
        <w:top w:val="none" w:sz="0" w:space="0" w:color="auto"/>
        <w:left w:val="none" w:sz="0" w:space="0" w:color="auto"/>
        <w:bottom w:val="none" w:sz="0" w:space="0" w:color="auto"/>
        <w:right w:val="none" w:sz="0" w:space="0" w:color="auto"/>
      </w:divBdr>
    </w:div>
    <w:div w:id="170489545">
      <w:bodyDiv w:val="1"/>
      <w:marLeft w:val="0"/>
      <w:marRight w:val="0"/>
      <w:marTop w:val="0"/>
      <w:marBottom w:val="0"/>
      <w:divBdr>
        <w:top w:val="none" w:sz="0" w:space="0" w:color="auto"/>
        <w:left w:val="none" w:sz="0" w:space="0" w:color="auto"/>
        <w:bottom w:val="none" w:sz="0" w:space="0" w:color="auto"/>
        <w:right w:val="none" w:sz="0" w:space="0" w:color="auto"/>
      </w:divBdr>
    </w:div>
    <w:div w:id="235823533">
      <w:bodyDiv w:val="1"/>
      <w:marLeft w:val="0"/>
      <w:marRight w:val="0"/>
      <w:marTop w:val="0"/>
      <w:marBottom w:val="0"/>
      <w:divBdr>
        <w:top w:val="none" w:sz="0" w:space="0" w:color="auto"/>
        <w:left w:val="none" w:sz="0" w:space="0" w:color="auto"/>
        <w:bottom w:val="none" w:sz="0" w:space="0" w:color="auto"/>
        <w:right w:val="none" w:sz="0" w:space="0" w:color="auto"/>
      </w:divBdr>
    </w:div>
    <w:div w:id="294603995">
      <w:bodyDiv w:val="1"/>
      <w:marLeft w:val="0"/>
      <w:marRight w:val="0"/>
      <w:marTop w:val="0"/>
      <w:marBottom w:val="0"/>
      <w:divBdr>
        <w:top w:val="none" w:sz="0" w:space="0" w:color="auto"/>
        <w:left w:val="none" w:sz="0" w:space="0" w:color="auto"/>
        <w:bottom w:val="none" w:sz="0" w:space="0" w:color="auto"/>
        <w:right w:val="none" w:sz="0" w:space="0" w:color="auto"/>
      </w:divBdr>
    </w:div>
    <w:div w:id="306936199">
      <w:bodyDiv w:val="1"/>
      <w:marLeft w:val="0"/>
      <w:marRight w:val="0"/>
      <w:marTop w:val="0"/>
      <w:marBottom w:val="0"/>
      <w:divBdr>
        <w:top w:val="none" w:sz="0" w:space="0" w:color="auto"/>
        <w:left w:val="none" w:sz="0" w:space="0" w:color="auto"/>
        <w:bottom w:val="none" w:sz="0" w:space="0" w:color="auto"/>
        <w:right w:val="none" w:sz="0" w:space="0" w:color="auto"/>
      </w:divBdr>
    </w:div>
    <w:div w:id="452217387">
      <w:bodyDiv w:val="1"/>
      <w:marLeft w:val="0"/>
      <w:marRight w:val="0"/>
      <w:marTop w:val="0"/>
      <w:marBottom w:val="0"/>
      <w:divBdr>
        <w:top w:val="none" w:sz="0" w:space="0" w:color="auto"/>
        <w:left w:val="none" w:sz="0" w:space="0" w:color="auto"/>
        <w:bottom w:val="none" w:sz="0" w:space="0" w:color="auto"/>
        <w:right w:val="none" w:sz="0" w:space="0" w:color="auto"/>
      </w:divBdr>
    </w:div>
    <w:div w:id="472063614">
      <w:bodyDiv w:val="1"/>
      <w:marLeft w:val="0"/>
      <w:marRight w:val="0"/>
      <w:marTop w:val="0"/>
      <w:marBottom w:val="0"/>
      <w:divBdr>
        <w:top w:val="none" w:sz="0" w:space="0" w:color="auto"/>
        <w:left w:val="none" w:sz="0" w:space="0" w:color="auto"/>
        <w:bottom w:val="none" w:sz="0" w:space="0" w:color="auto"/>
        <w:right w:val="none" w:sz="0" w:space="0" w:color="auto"/>
      </w:divBdr>
    </w:div>
    <w:div w:id="735976647">
      <w:bodyDiv w:val="1"/>
      <w:marLeft w:val="0"/>
      <w:marRight w:val="0"/>
      <w:marTop w:val="0"/>
      <w:marBottom w:val="0"/>
      <w:divBdr>
        <w:top w:val="none" w:sz="0" w:space="0" w:color="auto"/>
        <w:left w:val="none" w:sz="0" w:space="0" w:color="auto"/>
        <w:bottom w:val="none" w:sz="0" w:space="0" w:color="auto"/>
        <w:right w:val="none" w:sz="0" w:space="0" w:color="auto"/>
      </w:divBdr>
    </w:div>
    <w:div w:id="1203860825">
      <w:bodyDiv w:val="1"/>
      <w:marLeft w:val="0"/>
      <w:marRight w:val="0"/>
      <w:marTop w:val="0"/>
      <w:marBottom w:val="0"/>
      <w:divBdr>
        <w:top w:val="none" w:sz="0" w:space="0" w:color="auto"/>
        <w:left w:val="none" w:sz="0" w:space="0" w:color="auto"/>
        <w:bottom w:val="none" w:sz="0" w:space="0" w:color="auto"/>
        <w:right w:val="none" w:sz="0" w:space="0" w:color="auto"/>
      </w:divBdr>
    </w:div>
    <w:div w:id="1238400790">
      <w:bodyDiv w:val="1"/>
      <w:marLeft w:val="0"/>
      <w:marRight w:val="0"/>
      <w:marTop w:val="0"/>
      <w:marBottom w:val="0"/>
      <w:divBdr>
        <w:top w:val="none" w:sz="0" w:space="0" w:color="auto"/>
        <w:left w:val="none" w:sz="0" w:space="0" w:color="auto"/>
        <w:bottom w:val="none" w:sz="0" w:space="0" w:color="auto"/>
        <w:right w:val="none" w:sz="0" w:space="0" w:color="auto"/>
      </w:divBdr>
    </w:div>
    <w:div w:id="1470589574">
      <w:bodyDiv w:val="1"/>
      <w:marLeft w:val="0"/>
      <w:marRight w:val="0"/>
      <w:marTop w:val="0"/>
      <w:marBottom w:val="0"/>
      <w:divBdr>
        <w:top w:val="none" w:sz="0" w:space="0" w:color="auto"/>
        <w:left w:val="none" w:sz="0" w:space="0" w:color="auto"/>
        <w:bottom w:val="none" w:sz="0" w:space="0" w:color="auto"/>
        <w:right w:val="none" w:sz="0" w:space="0" w:color="auto"/>
      </w:divBdr>
    </w:div>
    <w:div w:id="1540434507">
      <w:bodyDiv w:val="1"/>
      <w:marLeft w:val="0"/>
      <w:marRight w:val="0"/>
      <w:marTop w:val="0"/>
      <w:marBottom w:val="0"/>
      <w:divBdr>
        <w:top w:val="none" w:sz="0" w:space="0" w:color="auto"/>
        <w:left w:val="none" w:sz="0" w:space="0" w:color="auto"/>
        <w:bottom w:val="none" w:sz="0" w:space="0" w:color="auto"/>
        <w:right w:val="none" w:sz="0" w:space="0" w:color="auto"/>
      </w:divBdr>
    </w:div>
    <w:div w:id="1590506054">
      <w:bodyDiv w:val="1"/>
      <w:marLeft w:val="0"/>
      <w:marRight w:val="0"/>
      <w:marTop w:val="0"/>
      <w:marBottom w:val="0"/>
      <w:divBdr>
        <w:top w:val="none" w:sz="0" w:space="0" w:color="auto"/>
        <w:left w:val="none" w:sz="0" w:space="0" w:color="auto"/>
        <w:bottom w:val="none" w:sz="0" w:space="0" w:color="auto"/>
        <w:right w:val="none" w:sz="0" w:space="0" w:color="auto"/>
      </w:divBdr>
    </w:div>
    <w:div w:id="1611472601">
      <w:bodyDiv w:val="1"/>
      <w:marLeft w:val="0"/>
      <w:marRight w:val="0"/>
      <w:marTop w:val="0"/>
      <w:marBottom w:val="0"/>
      <w:divBdr>
        <w:top w:val="none" w:sz="0" w:space="0" w:color="auto"/>
        <w:left w:val="none" w:sz="0" w:space="0" w:color="auto"/>
        <w:bottom w:val="none" w:sz="0" w:space="0" w:color="auto"/>
        <w:right w:val="none" w:sz="0" w:space="0" w:color="auto"/>
      </w:divBdr>
    </w:div>
    <w:div w:id="1736512789">
      <w:bodyDiv w:val="1"/>
      <w:marLeft w:val="0"/>
      <w:marRight w:val="0"/>
      <w:marTop w:val="0"/>
      <w:marBottom w:val="0"/>
      <w:divBdr>
        <w:top w:val="none" w:sz="0" w:space="0" w:color="auto"/>
        <w:left w:val="none" w:sz="0" w:space="0" w:color="auto"/>
        <w:bottom w:val="none" w:sz="0" w:space="0" w:color="auto"/>
        <w:right w:val="none" w:sz="0" w:space="0" w:color="auto"/>
      </w:divBdr>
    </w:div>
    <w:div w:id="1745645112">
      <w:bodyDiv w:val="1"/>
      <w:marLeft w:val="0"/>
      <w:marRight w:val="0"/>
      <w:marTop w:val="0"/>
      <w:marBottom w:val="0"/>
      <w:divBdr>
        <w:top w:val="none" w:sz="0" w:space="0" w:color="auto"/>
        <w:left w:val="none" w:sz="0" w:space="0" w:color="auto"/>
        <w:bottom w:val="none" w:sz="0" w:space="0" w:color="auto"/>
        <w:right w:val="none" w:sz="0" w:space="0" w:color="auto"/>
      </w:divBdr>
    </w:div>
    <w:div w:id="1745910794">
      <w:bodyDiv w:val="1"/>
      <w:marLeft w:val="0"/>
      <w:marRight w:val="0"/>
      <w:marTop w:val="0"/>
      <w:marBottom w:val="0"/>
      <w:divBdr>
        <w:top w:val="none" w:sz="0" w:space="0" w:color="auto"/>
        <w:left w:val="none" w:sz="0" w:space="0" w:color="auto"/>
        <w:bottom w:val="none" w:sz="0" w:space="0" w:color="auto"/>
        <w:right w:val="none" w:sz="0" w:space="0" w:color="auto"/>
      </w:divBdr>
    </w:div>
    <w:div w:id="1876965242">
      <w:bodyDiv w:val="1"/>
      <w:marLeft w:val="0"/>
      <w:marRight w:val="0"/>
      <w:marTop w:val="0"/>
      <w:marBottom w:val="0"/>
      <w:divBdr>
        <w:top w:val="none" w:sz="0" w:space="0" w:color="auto"/>
        <w:left w:val="none" w:sz="0" w:space="0" w:color="auto"/>
        <w:bottom w:val="none" w:sz="0" w:space="0" w:color="auto"/>
        <w:right w:val="none" w:sz="0" w:space="0" w:color="auto"/>
      </w:divBdr>
    </w:div>
    <w:div w:id="2041005943">
      <w:bodyDiv w:val="1"/>
      <w:marLeft w:val="0"/>
      <w:marRight w:val="0"/>
      <w:marTop w:val="0"/>
      <w:marBottom w:val="0"/>
      <w:divBdr>
        <w:top w:val="none" w:sz="0" w:space="0" w:color="auto"/>
        <w:left w:val="none" w:sz="0" w:space="0" w:color="auto"/>
        <w:bottom w:val="none" w:sz="0" w:space="0" w:color="auto"/>
        <w:right w:val="none" w:sz="0" w:space="0" w:color="auto"/>
      </w:divBdr>
    </w:div>
    <w:div w:id="2097481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2024-10-16T02:12:00Z</cp:lastPrinted>
  <dcterms:created xsi:type="dcterms:W3CDTF">2024-11-08T01:02:00Z</dcterms:created>
  <dcterms:modified xsi:type="dcterms:W3CDTF">2024-12-17T23:45:00Z</dcterms:modified>
</cp:coreProperties>
</file>